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C7A4" w14:textId="77777777" w:rsidR="004F5D9A" w:rsidRDefault="004F5D9A">
      <w:pPr>
        <w:jc w:val="center"/>
        <w:rPr>
          <w:szCs w:val="24"/>
        </w:rPr>
      </w:pPr>
      <w:r>
        <w:rPr>
          <w:szCs w:val="24"/>
          <w:u w:val="single"/>
        </w:rPr>
        <w:t>PUBLIC HEARING NOTICE</w:t>
      </w:r>
    </w:p>
    <w:p w14:paraId="2E64CBC0" w14:textId="4803F7FB" w:rsidR="004F5D9A" w:rsidRDefault="00B73781">
      <w:pPr>
        <w:jc w:val="both"/>
        <w:rPr>
          <w:szCs w:val="24"/>
        </w:rPr>
      </w:pPr>
      <w:r>
        <w:rPr>
          <w:szCs w:val="24"/>
        </w:rPr>
        <w:t xml:space="preserve">The City of </w:t>
      </w:r>
      <w:r w:rsidR="00CF1230">
        <w:rPr>
          <w:szCs w:val="24"/>
        </w:rPr>
        <w:t>Swainsboro</w:t>
      </w:r>
      <w:r>
        <w:rPr>
          <w:szCs w:val="24"/>
        </w:rPr>
        <w:t xml:space="preserve"> </w:t>
      </w:r>
      <w:r w:rsidR="004F5D9A">
        <w:rPr>
          <w:szCs w:val="24"/>
        </w:rPr>
        <w:t>is considering applying to the Georgia Department of Community Affairs for a Community Development Block Grant of up to $</w:t>
      </w:r>
      <w:r w:rsidR="009B67DE">
        <w:rPr>
          <w:szCs w:val="24"/>
        </w:rPr>
        <w:t>1,00</w:t>
      </w:r>
      <w:r w:rsidR="00F704D3">
        <w:rPr>
          <w:szCs w:val="24"/>
        </w:rPr>
        <w:t>0</w:t>
      </w:r>
      <w:r w:rsidR="004F5D9A">
        <w:rPr>
          <w:szCs w:val="24"/>
        </w:rPr>
        <w:t xml:space="preserve">,000.  These funds must be used to primarily benefit </w:t>
      </w:r>
      <w:r w:rsidR="00CF1230">
        <w:rPr>
          <w:szCs w:val="24"/>
        </w:rPr>
        <w:t>low- and moderate-income</w:t>
      </w:r>
      <w:r w:rsidR="004F5D9A">
        <w:rPr>
          <w:szCs w:val="24"/>
        </w:rPr>
        <w:t xml:space="preserve"> </w:t>
      </w:r>
      <w:proofErr w:type="gramStart"/>
      <w:r w:rsidR="004F5D9A">
        <w:rPr>
          <w:szCs w:val="24"/>
        </w:rPr>
        <w:t>persons</w:t>
      </w:r>
      <w:proofErr w:type="gramEnd"/>
      <w:r w:rsidR="004F5D9A">
        <w:rPr>
          <w:szCs w:val="24"/>
        </w:rPr>
        <w:t>.</w:t>
      </w:r>
    </w:p>
    <w:p w14:paraId="6BE95140" w14:textId="77777777" w:rsidR="004F5D9A" w:rsidRDefault="004F5D9A">
      <w:pPr>
        <w:jc w:val="both"/>
        <w:rPr>
          <w:szCs w:val="24"/>
        </w:rPr>
      </w:pPr>
    </w:p>
    <w:p w14:paraId="3398ABE5" w14:textId="0DA2B622" w:rsidR="004F5D9A" w:rsidRDefault="004F5D9A" w:rsidP="00D25446">
      <w:pPr>
        <w:jc w:val="both"/>
        <w:rPr>
          <w:szCs w:val="24"/>
        </w:rPr>
      </w:pPr>
      <w:r>
        <w:rPr>
          <w:szCs w:val="24"/>
        </w:rPr>
        <w:t xml:space="preserve">The activities for which these funds may be used are in the areas of housing, public facilities, and economic development.  More specific details regarding eligible activities, plans to assist displaced persons (if any), the estimated amount of funds proposed to be used for activities to benefit </w:t>
      </w:r>
      <w:r w:rsidR="00CF1230">
        <w:rPr>
          <w:szCs w:val="24"/>
        </w:rPr>
        <w:t>low- and moderate-income</w:t>
      </w:r>
      <w:r>
        <w:rPr>
          <w:szCs w:val="24"/>
        </w:rPr>
        <w:t xml:space="preserve"> persons, and the rating system will be provided at a public hearing</w:t>
      </w:r>
      <w:r w:rsidRPr="00E6164E">
        <w:rPr>
          <w:szCs w:val="24"/>
        </w:rPr>
        <w:t xml:space="preserve"> which will be held at </w:t>
      </w:r>
      <w:r w:rsidR="00E6164E" w:rsidRPr="00E6164E">
        <w:rPr>
          <w:szCs w:val="24"/>
        </w:rPr>
        <w:t xml:space="preserve">the </w:t>
      </w:r>
      <w:r w:rsidR="00CF1230">
        <w:rPr>
          <w:szCs w:val="24"/>
        </w:rPr>
        <w:t>Swainsboro Administrative Building</w:t>
      </w:r>
      <w:r w:rsidR="00730188">
        <w:rPr>
          <w:szCs w:val="24"/>
        </w:rPr>
        <w:t>, Conference Room</w:t>
      </w:r>
      <w:r w:rsidR="00D25446">
        <w:rPr>
          <w:szCs w:val="24"/>
        </w:rPr>
        <w:t xml:space="preserve">, </w:t>
      </w:r>
      <w:r w:rsidR="00CF1230">
        <w:rPr>
          <w:szCs w:val="24"/>
        </w:rPr>
        <w:t>211</w:t>
      </w:r>
      <w:r w:rsidR="00B73781">
        <w:rPr>
          <w:szCs w:val="24"/>
        </w:rPr>
        <w:t xml:space="preserve"> </w:t>
      </w:r>
      <w:r w:rsidR="00CF1230">
        <w:rPr>
          <w:szCs w:val="24"/>
        </w:rPr>
        <w:t>N. Main Street</w:t>
      </w:r>
      <w:r w:rsidR="00D25446">
        <w:rPr>
          <w:szCs w:val="24"/>
        </w:rPr>
        <w:t xml:space="preserve">, </w:t>
      </w:r>
      <w:r w:rsidR="00CF1230">
        <w:rPr>
          <w:szCs w:val="24"/>
        </w:rPr>
        <w:t>Swainsboro</w:t>
      </w:r>
      <w:r w:rsidR="00D25446" w:rsidRPr="00D25446">
        <w:rPr>
          <w:szCs w:val="24"/>
        </w:rPr>
        <w:t xml:space="preserve">, GA </w:t>
      </w:r>
      <w:r w:rsidR="00CF1230">
        <w:rPr>
          <w:szCs w:val="24"/>
        </w:rPr>
        <w:t>30401</w:t>
      </w:r>
      <w:r w:rsidR="00D25446" w:rsidRPr="00D25446">
        <w:rPr>
          <w:szCs w:val="24"/>
        </w:rPr>
        <w:t xml:space="preserve"> </w:t>
      </w:r>
      <w:r w:rsidR="00F704D3">
        <w:rPr>
          <w:szCs w:val="24"/>
        </w:rPr>
        <w:t xml:space="preserve">on </w:t>
      </w:r>
      <w:r w:rsidR="00CF1230">
        <w:rPr>
          <w:szCs w:val="24"/>
        </w:rPr>
        <w:t>April 2</w:t>
      </w:r>
      <w:r w:rsidR="009B0016">
        <w:rPr>
          <w:szCs w:val="24"/>
        </w:rPr>
        <w:t>, 202</w:t>
      </w:r>
      <w:r w:rsidR="00102CDC">
        <w:rPr>
          <w:szCs w:val="24"/>
        </w:rPr>
        <w:t>6</w:t>
      </w:r>
      <w:r w:rsidR="009B0016">
        <w:rPr>
          <w:szCs w:val="24"/>
        </w:rPr>
        <w:t xml:space="preserve"> at </w:t>
      </w:r>
      <w:r w:rsidR="00CF1230">
        <w:rPr>
          <w:szCs w:val="24"/>
        </w:rPr>
        <w:t>12</w:t>
      </w:r>
      <w:r w:rsidR="00102CDC">
        <w:rPr>
          <w:szCs w:val="24"/>
        </w:rPr>
        <w:t>:</w:t>
      </w:r>
      <w:r w:rsidR="00CF1230">
        <w:rPr>
          <w:szCs w:val="24"/>
        </w:rPr>
        <w:t xml:space="preserve">00 </w:t>
      </w:r>
      <w:r w:rsidR="009B0016">
        <w:rPr>
          <w:szCs w:val="24"/>
        </w:rPr>
        <w:t>p.m.</w:t>
      </w:r>
      <w:r w:rsidR="009B0016" w:rsidRPr="009B0016">
        <w:rPr>
          <w:b/>
          <w:szCs w:val="24"/>
        </w:rPr>
        <w:t xml:space="preserve"> </w:t>
      </w:r>
    </w:p>
    <w:p w14:paraId="03074889" w14:textId="77777777" w:rsidR="004F5D9A" w:rsidRDefault="004F5D9A">
      <w:pPr>
        <w:jc w:val="both"/>
        <w:rPr>
          <w:szCs w:val="24"/>
        </w:rPr>
      </w:pPr>
    </w:p>
    <w:p w14:paraId="4976692A" w14:textId="5A56E625" w:rsidR="004F5D9A" w:rsidRDefault="004F5D9A" w:rsidP="00B73781">
      <w:pPr>
        <w:jc w:val="both"/>
        <w:rPr>
          <w:szCs w:val="24"/>
        </w:rPr>
      </w:pPr>
      <w:r>
        <w:rPr>
          <w:szCs w:val="24"/>
        </w:rPr>
        <w:t xml:space="preserve">The purpose of this hearing will be to obtain citizen input </w:t>
      </w:r>
      <w:r w:rsidR="004C5A2D">
        <w:rPr>
          <w:szCs w:val="24"/>
        </w:rPr>
        <w:t>regarding</w:t>
      </w:r>
      <w:r>
        <w:rPr>
          <w:szCs w:val="24"/>
        </w:rPr>
        <w:t xml:space="preserve"> the development of the application and to review progress on the previous CDBG grant (if applicable).  Persons with special needs relating to handicapped accessibility or foreign language shall </w:t>
      </w:r>
      <w:r w:rsidR="00A120EC">
        <w:rPr>
          <w:szCs w:val="24"/>
        </w:rPr>
        <w:t xml:space="preserve">contact </w:t>
      </w:r>
      <w:r w:rsidR="00CF1230">
        <w:rPr>
          <w:szCs w:val="24"/>
        </w:rPr>
        <w:t>Herman Middlebrooks</w:t>
      </w:r>
      <w:r w:rsidR="00D243D6">
        <w:rPr>
          <w:szCs w:val="24"/>
        </w:rPr>
        <w:t xml:space="preserve">, City </w:t>
      </w:r>
      <w:r w:rsidR="00102CDC">
        <w:rPr>
          <w:szCs w:val="24"/>
        </w:rPr>
        <w:t>Manager</w:t>
      </w:r>
      <w:r w:rsidR="00AC1352">
        <w:rPr>
          <w:szCs w:val="24"/>
        </w:rPr>
        <w:t xml:space="preserve">, at </w:t>
      </w:r>
      <w:r w:rsidR="00CF1230" w:rsidRPr="00CF1230">
        <w:rPr>
          <w:szCs w:val="24"/>
        </w:rPr>
        <w:t>(478) 237-7025</w:t>
      </w:r>
      <w:r w:rsidR="00CF1230">
        <w:rPr>
          <w:szCs w:val="24"/>
        </w:rPr>
        <w:t xml:space="preserve"> </w:t>
      </w:r>
      <w:r w:rsidR="00A30514">
        <w:rPr>
          <w:szCs w:val="24"/>
        </w:rPr>
        <w:t>or</w:t>
      </w:r>
      <w:r w:rsidR="00B73781">
        <w:rPr>
          <w:szCs w:val="24"/>
        </w:rPr>
        <w:t xml:space="preserve"> </w:t>
      </w:r>
      <w:r w:rsidR="00CF1230" w:rsidRPr="00CF1230">
        <w:rPr>
          <w:color w:val="4F81BD" w:themeColor="accent1"/>
          <w:szCs w:val="24"/>
          <w:u w:val="single"/>
        </w:rPr>
        <w:t>hmiddlebrooks@cityofswainsboro.org</w:t>
      </w:r>
      <w:r w:rsidR="00102CDC" w:rsidRPr="00102CDC">
        <w:rPr>
          <w:color w:val="4F81BD" w:themeColor="accent1"/>
          <w:szCs w:val="24"/>
        </w:rPr>
        <w:t xml:space="preserve"> </w:t>
      </w:r>
      <w:r w:rsidR="00AC1352">
        <w:rPr>
          <w:szCs w:val="24"/>
        </w:rPr>
        <w:t xml:space="preserve">prior to </w:t>
      </w:r>
      <w:r w:rsidR="00CF1230">
        <w:rPr>
          <w:szCs w:val="24"/>
        </w:rPr>
        <w:t>April 2</w:t>
      </w:r>
      <w:r w:rsidR="009B0016">
        <w:rPr>
          <w:szCs w:val="24"/>
        </w:rPr>
        <w:t>, 202</w:t>
      </w:r>
      <w:r w:rsidR="00102CDC">
        <w:rPr>
          <w:szCs w:val="24"/>
        </w:rPr>
        <w:t>6</w:t>
      </w:r>
      <w:r w:rsidR="009B0016">
        <w:rPr>
          <w:szCs w:val="24"/>
        </w:rPr>
        <w:t>.</w:t>
      </w:r>
      <w:r w:rsidR="00D243D6">
        <w:rPr>
          <w:szCs w:val="24"/>
        </w:rPr>
        <w:t xml:space="preserve">  The </w:t>
      </w:r>
      <w:r w:rsidR="00102CDC">
        <w:rPr>
          <w:szCs w:val="24"/>
        </w:rPr>
        <w:t>manager</w:t>
      </w:r>
      <w:r w:rsidR="00D243D6">
        <w:rPr>
          <w:szCs w:val="24"/>
        </w:rPr>
        <w:t xml:space="preserve"> </w:t>
      </w:r>
      <w:r>
        <w:rPr>
          <w:szCs w:val="24"/>
        </w:rPr>
        <w:t xml:space="preserve">can be located at </w:t>
      </w:r>
      <w:r w:rsidR="00E6164E">
        <w:rPr>
          <w:szCs w:val="24"/>
        </w:rPr>
        <w:t xml:space="preserve">the </w:t>
      </w:r>
      <w:r w:rsidR="00CF1230">
        <w:rPr>
          <w:szCs w:val="24"/>
        </w:rPr>
        <w:t>Swainsboro Administration Building</w:t>
      </w:r>
      <w:r w:rsidR="00B73781">
        <w:rPr>
          <w:szCs w:val="24"/>
        </w:rPr>
        <w:t xml:space="preserve">, </w:t>
      </w:r>
      <w:r w:rsidR="00CF1230">
        <w:rPr>
          <w:szCs w:val="24"/>
        </w:rPr>
        <w:t>211</w:t>
      </w:r>
      <w:r w:rsidR="00B73781">
        <w:rPr>
          <w:szCs w:val="24"/>
        </w:rPr>
        <w:t xml:space="preserve"> </w:t>
      </w:r>
      <w:r w:rsidR="00CF1230">
        <w:rPr>
          <w:szCs w:val="24"/>
        </w:rPr>
        <w:t>North Main Street</w:t>
      </w:r>
      <w:r w:rsidR="00B73781">
        <w:rPr>
          <w:szCs w:val="24"/>
        </w:rPr>
        <w:t xml:space="preserve">, </w:t>
      </w:r>
      <w:r w:rsidR="00CF1230">
        <w:rPr>
          <w:szCs w:val="24"/>
        </w:rPr>
        <w:t>Swainsboro</w:t>
      </w:r>
      <w:r w:rsidR="00B73781">
        <w:rPr>
          <w:szCs w:val="24"/>
        </w:rPr>
        <w:t>, GA 30427</w:t>
      </w:r>
      <w:r w:rsidR="00D25446" w:rsidRPr="00D25446">
        <w:rPr>
          <w:szCs w:val="24"/>
        </w:rPr>
        <w:t xml:space="preserve"> </w:t>
      </w:r>
      <w:r>
        <w:rPr>
          <w:szCs w:val="24"/>
        </w:rPr>
        <w:t xml:space="preserve">between the hours of </w:t>
      </w:r>
      <w:r w:rsidR="00070952">
        <w:rPr>
          <w:szCs w:val="24"/>
        </w:rPr>
        <w:t>9</w:t>
      </w:r>
      <w:r w:rsidR="005729E5">
        <w:rPr>
          <w:szCs w:val="24"/>
        </w:rPr>
        <w:t xml:space="preserve">:00 to </w:t>
      </w:r>
      <w:r w:rsidR="00070952">
        <w:rPr>
          <w:szCs w:val="24"/>
        </w:rPr>
        <w:t>4</w:t>
      </w:r>
      <w:r w:rsidR="005729E5">
        <w:rPr>
          <w:szCs w:val="24"/>
        </w:rPr>
        <w:t>:</w:t>
      </w:r>
      <w:r w:rsidR="00070952">
        <w:rPr>
          <w:szCs w:val="24"/>
        </w:rPr>
        <w:t>3</w:t>
      </w:r>
      <w:r w:rsidR="005729E5">
        <w:rPr>
          <w:szCs w:val="24"/>
        </w:rPr>
        <w:t>0 Monday through Friday, except holidays</w:t>
      </w:r>
      <w:r>
        <w:rPr>
          <w:szCs w:val="24"/>
        </w:rPr>
        <w:t xml:space="preserve">. </w:t>
      </w:r>
    </w:p>
    <w:p w14:paraId="5EAD4F58" w14:textId="77777777" w:rsidR="004F5D9A" w:rsidRDefault="004F5D9A">
      <w:pPr>
        <w:jc w:val="both"/>
        <w:rPr>
          <w:szCs w:val="24"/>
        </w:rPr>
      </w:pPr>
    </w:p>
    <w:p w14:paraId="39C9C0B4" w14:textId="77777777" w:rsidR="004F5D9A" w:rsidRDefault="004F5D9A">
      <w:pPr>
        <w:jc w:val="both"/>
        <w:rPr>
          <w:szCs w:val="24"/>
        </w:rPr>
      </w:pPr>
      <w:r>
        <w:rPr>
          <w:szCs w:val="24"/>
        </w:rPr>
        <w:t>Individuals who are hearing impaired can contact the Georgia Relay Services, telephone number (TDD) 1-800-255-0056, (Voice) 1-800-255-0135.</w:t>
      </w:r>
      <w:r w:rsidR="00781E35">
        <w:rPr>
          <w:szCs w:val="24"/>
        </w:rPr>
        <w:t xml:space="preserve"> </w:t>
      </w:r>
    </w:p>
    <w:p w14:paraId="0BF29C26" w14:textId="77777777" w:rsidR="004F5D9A" w:rsidRDefault="004F5D9A">
      <w:pPr>
        <w:jc w:val="both"/>
        <w:rPr>
          <w:szCs w:val="24"/>
        </w:rPr>
      </w:pPr>
    </w:p>
    <w:p w14:paraId="755D20B6" w14:textId="77777777" w:rsidR="004F5D9A" w:rsidRDefault="004F5D9A">
      <w:pPr>
        <w:jc w:val="both"/>
        <w:rPr>
          <w:b/>
          <w:szCs w:val="24"/>
        </w:rPr>
      </w:pPr>
    </w:p>
    <w:p w14:paraId="10BCEE31" w14:textId="77777777" w:rsidR="004F5D9A" w:rsidRDefault="004F5D9A">
      <w:pPr>
        <w:jc w:val="both"/>
        <w:rPr>
          <w:b/>
          <w:szCs w:val="24"/>
        </w:rPr>
      </w:pPr>
    </w:p>
    <w:p w14:paraId="3B0A7BE2" w14:textId="77777777" w:rsidR="004F5D9A" w:rsidRDefault="00AC1352">
      <w:pPr>
        <w:jc w:val="both"/>
        <w:rPr>
          <w:b/>
          <w:szCs w:val="24"/>
        </w:rPr>
      </w:pPr>
      <w:r>
        <w:rPr>
          <w:noProof/>
          <w:szCs w:val="24"/>
        </w:rPr>
        <w:drawing>
          <wp:inline distT="0" distB="0" distL="0" distR="0" wp14:anchorId="250ED819" wp14:editId="4584F679">
            <wp:extent cx="548640" cy="588541"/>
            <wp:effectExtent l="0" t="0" r="0" b="0"/>
            <wp:docPr id="2" name="Picture 1" descr="http://www.listeningear.com/assets/images/fairHousi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steningear.com/assets/images/fairHousingLogo.jpg"/>
                    <pic:cNvPicPr>
                      <a:picLocks noChangeAspect="1" noChangeArrowheads="1"/>
                    </pic:cNvPicPr>
                  </pic:nvPicPr>
                  <pic:blipFill>
                    <a:blip r:embed="rId4" cstate="print"/>
                    <a:srcRect/>
                    <a:stretch>
                      <a:fillRect/>
                    </a:stretch>
                  </pic:blipFill>
                  <pic:spPr bwMode="auto">
                    <a:xfrm>
                      <a:off x="0" y="0"/>
                      <a:ext cx="557807" cy="598375"/>
                    </a:xfrm>
                    <a:prstGeom prst="rect">
                      <a:avLst/>
                    </a:prstGeom>
                    <a:noFill/>
                    <a:ln w="9525">
                      <a:noFill/>
                      <a:miter lim="800000"/>
                      <a:headEnd/>
                      <a:tailEnd/>
                    </a:ln>
                  </pic:spPr>
                </pic:pic>
              </a:graphicData>
            </a:graphic>
          </wp:inline>
        </w:drawing>
      </w:r>
      <w:r>
        <w:rPr>
          <w:b/>
          <w:szCs w:val="24"/>
        </w:rPr>
        <w:t xml:space="preserve">       </w:t>
      </w:r>
      <w:r w:rsidR="007453BB">
        <w:rPr>
          <w:noProof/>
          <w:szCs w:val="24"/>
        </w:rPr>
        <w:drawing>
          <wp:inline distT="0" distB="0" distL="0" distR="0" wp14:anchorId="18F04D10" wp14:editId="55C90EC4">
            <wp:extent cx="457200" cy="522930"/>
            <wp:effectExtent l="0" t="0" r="0" b="0"/>
            <wp:docPr id="3" name="Picture 7" descr="http://www.planning.co.medina.oh.us/fair_housing/pamphlets/thumbs/Wheelchair_symbol.svg.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lanning.co.medina.oh.us/fair_housing/pamphlets/thumbs/Wheelchair_symbol.svg.med.jpg"/>
                    <pic:cNvPicPr>
                      <a:picLocks noChangeAspect="1" noChangeArrowheads="1"/>
                    </pic:cNvPicPr>
                  </pic:nvPicPr>
                  <pic:blipFill>
                    <a:blip r:embed="rId5" cstate="print"/>
                    <a:srcRect/>
                    <a:stretch>
                      <a:fillRect/>
                    </a:stretch>
                  </pic:blipFill>
                  <pic:spPr bwMode="auto">
                    <a:xfrm>
                      <a:off x="0" y="0"/>
                      <a:ext cx="462230" cy="528684"/>
                    </a:xfrm>
                    <a:prstGeom prst="rect">
                      <a:avLst/>
                    </a:prstGeom>
                    <a:noFill/>
                    <a:ln w="9525">
                      <a:noFill/>
                      <a:miter lim="800000"/>
                      <a:headEnd/>
                      <a:tailEnd/>
                    </a:ln>
                  </pic:spPr>
                </pic:pic>
              </a:graphicData>
            </a:graphic>
          </wp:inline>
        </w:drawing>
      </w:r>
      <w:r>
        <w:rPr>
          <w:b/>
          <w:szCs w:val="24"/>
        </w:rPr>
        <w:t xml:space="preserve">                                                                                     </w:t>
      </w:r>
      <w:r w:rsidR="008551EE">
        <w:rPr>
          <w:b/>
          <w:szCs w:val="24"/>
        </w:rPr>
        <w:t xml:space="preserve">                              </w:t>
      </w:r>
    </w:p>
    <w:p w14:paraId="1C3F5BC7" w14:textId="77777777" w:rsidR="004F5D9A" w:rsidRDefault="004F5D9A">
      <w:pPr>
        <w:jc w:val="both"/>
        <w:rPr>
          <w:b/>
          <w:szCs w:val="24"/>
        </w:rPr>
        <w:sectPr w:rsidR="004F5D9A">
          <w:pgSz w:w="12240" w:h="15840"/>
          <w:pgMar w:top="1440" w:right="1440" w:bottom="1440" w:left="1440" w:header="720" w:footer="720" w:gutter="0"/>
          <w:cols w:space="720"/>
        </w:sectPr>
      </w:pPr>
      <w:r>
        <w:rPr>
          <w:b/>
          <w:szCs w:val="24"/>
        </w:rPr>
        <w:cr/>
      </w:r>
    </w:p>
    <w:p w14:paraId="45B0B07E" w14:textId="77777777" w:rsidR="004F5D9A" w:rsidRDefault="00AF0EC3" w:rsidP="00AF0EC3">
      <w:pPr>
        <w:rPr>
          <w:szCs w:val="24"/>
        </w:rPr>
      </w:pPr>
      <w:r>
        <w:rPr>
          <w:szCs w:val="24"/>
        </w:rPr>
        <w:t xml:space="preserve"> </w:t>
      </w:r>
    </w:p>
    <w:p w14:paraId="266FAB64" w14:textId="77777777" w:rsidR="004F5D9A" w:rsidRDefault="004F5D9A"/>
    <w:sectPr w:rsidR="004F5D9A" w:rsidSect="00357B37">
      <w:type w:val="continuous"/>
      <w:pgSz w:w="12240" w:h="15840" w:code="1"/>
      <w:pgMar w:top="1440" w:right="1440" w:bottom="1440" w:left="1440" w:header="720" w:footer="432" w:gutter="0"/>
      <w:cols w:space="720"/>
      <w:titlePg/>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80"/>
    <w:rsid w:val="00012CE2"/>
    <w:rsid w:val="000379E4"/>
    <w:rsid w:val="0005588A"/>
    <w:rsid w:val="00070952"/>
    <w:rsid w:val="00102CDC"/>
    <w:rsid w:val="001368EE"/>
    <w:rsid w:val="00146BC2"/>
    <w:rsid w:val="001B13CC"/>
    <w:rsid w:val="001C19D4"/>
    <w:rsid w:val="001D445A"/>
    <w:rsid w:val="001D51A2"/>
    <w:rsid w:val="001E5F35"/>
    <w:rsid w:val="001E7595"/>
    <w:rsid w:val="00220383"/>
    <w:rsid w:val="00270ED6"/>
    <w:rsid w:val="00282A7E"/>
    <w:rsid w:val="00296E89"/>
    <w:rsid w:val="002A0877"/>
    <w:rsid w:val="002C4657"/>
    <w:rsid w:val="002C501D"/>
    <w:rsid w:val="00357B37"/>
    <w:rsid w:val="003666D5"/>
    <w:rsid w:val="003B1B91"/>
    <w:rsid w:val="003C504D"/>
    <w:rsid w:val="00414C77"/>
    <w:rsid w:val="00466791"/>
    <w:rsid w:val="004C5A2D"/>
    <w:rsid w:val="004E3740"/>
    <w:rsid w:val="004F5D9A"/>
    <w:rsid w:val="00544686"/>
    <w:rsid w:val="00547894"/>
    <w:rsid w:val="005648A2"/>
    <w:rsid w:val="005729E5"/>
    <w:rsid w:val="0058013D"/>
    <w:rsid w:val="00587103"/>
    <w:rsid w:val="005B5C59"/>
    <w:rsid w:val="00604034"/>
    <w:rsid w:val="006177F7"/>
    <w:rsid w:val="00622D4F"/>
    <w:rsid w:val="00647183"/>
    <w:rsid w:val="0064794C"/>
    <w:rsid w:val="006E1134"/>
    <w:rsid w:val="006F58AD"/>
    <w:rsid w:val="00703A0A"/>
    <w:rsid w:val="00730188"/>
    <w:rsid w:val="007369F7"/>
    <w:rsid w:val="007453BB"/>
    <w:rsid w:val="0075079E"/>
    <w:rsid w:val="00754D4E"/>
    <w:rsid w:val="00781E35"/>
    <w:rsid w:val="0081652A"/>
    <w:rsid w:val="00817599"/>
    <w:rsid w:val="00820144"/>
    <w:rsid w:val="0083118D"/>
    <w:rsid w:val="008551EE"/>
    <w:rsid w:val="0088176E"/>
    <w:rsid w:val="008B1506"/>
    <w:rsid w:val="008C2702"/>
    <w:rsid w:val="008F2824"/>
    <w:rsid w:val="008F6181"/>
    <w:rsid w:val="0090129F"/>
    <w:rsid w:val="009049BE"/>
    <w:rsid w:val="00906150"/>
    <w:rsid w:val="009274ED"/>
    <w:rsid w:val="00932395"/>
    <w:rsid w:val="00936074"/>
    <w:rsid w:val="009549F5"/>
    <w:rsid w:val="00970A7E"/>
    <w:rsid w:val="00971B68"/>
    <w:rsid w:val="0099682E"/>
    <w:rsid w:val="009B0016"/>
    <w:rsid w:val="009B67DE"/>
    <w:rsid w:val="009D27BF"/>
    <w:rsid w:val="00A04B21"/>
    <w:rsid w:val="00A1196D"/>
    <w:rsid w:val="00A120EC"/>
    <w:rsid w:val="00A30514"/>
    <w:rsid w:val="00A67356"/>
    <w:rsid w:val="00A84928"/>
    <w:rsid w:val="00AA0E41"/>
    <w:rsid w:val="00AA3895"/>
    <w:rsid w:val="00AC1352"/>
    <w:rsid w:val="00AD02DB"/>
    <w:rsid w:val="00AF0EC3"/>
    <w:rsid w:val="00B20AFD"/>
    <w:rsid w:val="00B73781"/>
    <w:rsid w:val="00BA1980"/>
    <w:rsid w:val="00BD4C0E"/>
    <w:rsid w:val="00BD4F55"/>
    <w:rsid w:val="00C16720"/>
    <w:rsid w:val="00C24A3C"/>
    <w:rsid w:val="00C41982"/>
    <w:rsid w:val="00C9143B"/>
    <w:rsid w:val="00CA488C"/>
    <w:rsid w:val="00CB10A5"/>
    <w:rsid w:val="00CC1BCF"/>
    <w:rsid w:val="00CC7760"/>
    <w:rsid w:val="00CD0576"/>
    <w:rsid w:val="00CF1230"/>
    <w:rsid w:val="00CF39BE"/>
    <w:rsid w:val="00D10814"/>
    <w:rsid w:val="00D243D6"/>
    <w:rsid w:val="00D25446"/>
    <w:rsid w:val="00D45D6E"/>
    <w:rsid w:val="00D53A68"/>
    <w:rsid w:val="00D64E99"/>
    <w:rsid w:val="00DC01B8"/>
    <w:rsid w:val="00E26175"/>
    <w:rsid w:val="00E41B01"/>
    <w:rsid w:val="00E56C89"/>
    <w:rsid w:val="00E6164E"/>
    <w:rsid w:val="00E6462E"/>
    <w:rsid w:val="00E92F02"/>
    <w:rsid w:val="00F13A5C"/>
    <w:rsid w:val="00F17EFB"/>
    <w:rsid w:val="00F22F69"/>
    <w:rsid w:val="00F23A19"/>
    <w:rsid w:val="00F32C7E"/>
    <w:rsid w:val="00F704D3"/>
    <w:rsid w:val="00F84E52"/>
    <w:rsid w:val="00F97DFB"/>
    <w:rsid w:val="00FC6372"/>
    <w:rsid w:val="00FD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D1A1C"/>
  <w15:docId w15:val="{7E341EE7-96B4-49D6-800D-56B404E6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B37"/>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357B37"/>
    <w:pPr>
      <w:framePr w:w="7920" w:h="1980" w:hRule="exact" w:hSpace="180" w:wrap="auto" w:hAnchor="page" w:xAlign="center" w:yAlign="bottom"/>
      <w:ind w:left="2880"/>
    </w:pPr>
    <w:rPr>
      <w:sz w:val="22"/>
      <w:szCs w:val="24"/>
    </w:rPr>
  </w:style>
  <w:style w:type="paragraph" w:styleId="EnvelopeReturn">
    <w:name w:val="envelope return"/>
    <w:basedOn w:val="Normal"/>
    <w:semiHidden/>
    <w:rsid w:val="00357B37"/>
    <w:rPr>
      <w:sz w:val="22"/>
    </w:rPr>
  </w:style>
  <w:style w:type="paragraph" w:styleId="BalloonText">
    <w:name w:val="Balloon Text"/>
    <w:basedOn w:val="Normal"/>
    <w:link w:val="BalloonTextChar"/>
    <w:uiPriority w:val="99"/>
    <w:semiHidden/>
    <w:unhideWhenUsed/>
    <w:rsid w:val="00F704D3"/>
    <w:rPr>
      <w:rFonts w:ascii="Tahoma" w:hAnsi="Tahoma" w:cs="Tahoma"/>
      <w:sz w:val="16"/>
      <w:szCs w:val="16"/>
    </w:rPr>
  </w:style>
  <w:style w:type="character" w:customStyle="1" w:styleId="BalloonTextChar">
    <w:name w:val="Balloon Text Char"/>
    <w:basedOn w:val="DefaultParagraphFont"/>
    <w:link w:val="BalloonText"/>
    <w:uiPriority w:val="99"/>
    <w:semiHidden/>
    <w:rsid w:val="00F704D3"/>
    <w:rPr>
      <w:rFonts w:ascii="Tahoma" w:hAnsi="Tahoma" w:cs="Tahoma"/>
      <w:sz w:val="16"/>
      <w:szCs w:val="16"/>
    </w:rPr>
  </w:style>
  <w:style w:type="character" w:styleId="Hyperlink">
    <w:name w:val="Hyperlink"/>
    <w:basedOn w:val="DefaultParagraphFont"/>
    <w:uiPriority w:val="99"/>
    <w:unhideWhenUsed/>
    <w:rsid w:val="00A30514"/>
    <w:rPr>
      <w:color w:val="0000FF" w:themeColor="hyperlink"/>
      <w:u w:val="single"/>
    </w:rPr>
  </w:style>
  <w:style w:type="character" w:styleId="UnresolvedMention">
    <w:name w:val="Unresolved Mention"/>
    <w:basedOn w:val="DefaultParagraphFont"/>
    <w:uiPriority w:val="99"/>
    <w:semiHidden/>
    <w:unhideWhenUsed/>
    <w:rsid w:val="00CF1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1407</Characters>
  <Application>Microsoft Office Word</Application>
  <DocSecurity>4</DocSecurity>
  <Lines>34</Lines>
  <Paragraphs>7</Paragraphs>
  <ScaleCrop>false</ScaleCrop>
  <HeadingPairs>
    <vt:vector size="2" baseType="variant">
      <vt:variant>
        <vt:lpstr>Title</vt:lpstr>
      </vt:variant>
      <vt:variant>
        <vt:i4>1</vt:i4>
      </vt:variant>
    </vt:vector>
  </HeadingPairs>
  <TitlesOfParts>
    <vt:vector size="1" baseType="lpstr">
      <vt:lpstr>Attached is a Public Hearing Notice for Camden County</vt:lpstr>
    </vt:vector>
  </TitlesOfParts>
  <Company>ALGA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Attached is a Public Hearing Notice for Camden County</dc:title>
  <dc:creator>Melanie</dc:creator>
  <cp:lastModifiedBy>Katie Jones</cp:lastModifiedBy>
  <cp:revision>2</cp:revision>
  <cp:lastPrinted>2012-02-13T15:31:00Z</cp:lastPrinted>
  <dcterms:created xsi:type="dcterms:W3CDTF">2026-03-20T14:29:00Z</dcterms:created>
  <dcterms:modified xsi:type="dcterms:W3CDTF">2026-03-20T14:29:00Z</dcterms:modified>
</cp:coreProperties>
</file>